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7E" w:rsidRPr="0040507E" w:rsidRDefault="0040507E" w:rsidP="0040507E">
      <w:pPr>
        <w:spacing w:before="250" w:line="276" w:lineRule="auto"/>
        <w:ind w:left="936" w:right="984"/>
        <w:jc w:val="center"/>
        <w:outlineLvl w:val="3"/>
        <w:rPr>
          <w:rFonts w:eastAsia="Times New Roman"/>
          <w:b/>
          <w:bCs/>
          <w:color w:val="5DB679"/>
          <w:sz w:val="36"/>
          <w:szCs w:val="36"/>
          <w:lang w:val="fr-FR"/>
        </w:rPr>
      </w:pPr>
      <w:r w:rsidRPr="0040507E">
        <w:rPr>
          <w:rFonts w:eastAsia="Times New Roman"/>
          <w:b/>
          <w:bCs/>
          <w:color w:val="5DB679"/>
          <w:sz w:val="36"/>
          <w:szCs w:val="36"/>
          <w:lang w:val="fr-FR"/>
        </w:rPr>
        <w:t>Trame de fiche synthétique des actions du projet de santé</w:t>
      </w:r>
    </w:p>
    <w:p w:rsidR="0040507E" w:rsidRDefault="0040507E" w:rsidP="0040507E">
      <w:pPr>
        <w:spacing w:line="276" w:lineRule="auto"/>
        <w:ind w:left="216" w:right="431"/>
        <w:rPr>
          <w:i/>
          <w:sz w:val="20"/>
          <w:lang w:val="fr-FR"/>
        </w:rPr>
      </w:pPr>
    </w:p>
    <w:p w:rsidR="0040507E" w:rsidRPr="0040507E" w:rsidRDefault="0040507E" w:rsidP="0040507E">
      <w:pPr>
        <w:spacing w:line="276" w:lineRule="auto"/>
        <w:ind w:left="216" w:right="431"/>
        <w:rPr>
          <w:i/>
          <w:sz w:val="20"/>
          <w:lang w:val="fr-FR"/>
        </w:rPr>
      </w:pPr>
      <w:r w:rsidRPr="0040507E">
        <w:rPr>
          <w:i/>
          <w:sz w:val="20"/>
          <w:lang w:val="fr-FR"/>
        </w:rPr>
        <w:t>Lors de la validation du projet de santé, au moins une fiche par mission socle doit être jointe. Les autres fiches seront communiquées au fur et à mesure de l’évolution du projet de santé qu’elles viendront compléter.</w:t>
      </w:r>
    </w:p>
    <w:p w:rsidR="0040507E" w:rsidRPr="0040507E" w:rsidRDefault="0040507E" w:rsidP="0040507E">
      <w:pPr>
        <w:spacing w:line="276" w:lineRule="auto"/>
        <w:ind w:left="216" w:right="431"/>
        <w:rPr>
          <w:i/>
          <w:sz w:val="20"/>
          <w:lang w:val="fr-FR"/>
        </w:rPr>
      </w:pPr>
    </w:p>
    <w:p w:rsidR="0040507E" w:rsidRPr="0040507E" w:rsidRDefault="0040507E" w:rsidP="0040507E">
      <w:pPr>
        <w:spacing w:line="276" w:lineRule="auto"/>
        <w:ind w:left="216" w:right="431"/>
        <w:rPr>
          <w:i/>
          <w:sz w:val="20"/>
          <w:lang w:val="fr-FR"/>
        </w:rPr>
      </w:pPr>
      <w:r w:rsidRPr="0040507E">
        <w:rPr>
          <w:i/>
          <w:sz w:val="20"/>
          <w:lang w:val="fr-FR"/>
        </w:rPr>
        <w:t xml:space="preserve">Les fiches actions ont vocation à être complétées pendant les dialogues de gestion </w:t>
      </w:r>
      <w:r>
        <w:rPr>
          <w:i/>
          <w:sz w:val="20"/>
          <w:lang w:val="fr-FR"/>
        </w:rPr>
        <w:t xml:space="preserve">(CPTS / Assurance Maladie / ARS) </w:t>
      </w:r>
      <w:r w:rsidRPr="0040507E">
        <w:rPr>
          <w:i/>
          <w:sz w:val="20"/>
          <w:lang w:val="fr-FR"/>
        </w:rPr>
        <w:t xml:space="preserve">pour contractualiser l’ACI </w:t>
      </w:r>
      <w:r>
        <w:rPr>
          <w:i/>
          <w:sz w:val="20"/>
          <w:lang w:val="fr-FR"/>
        </w:rPr>
        <w:t>et</w:t>
      </w:r>
      <w:bookmarkStart w:id="0" w:name="_GoBack"/>
      <w:bookmarkEnd w:id="0"/>
      <w:r w:rsidRPr="0040507E">
        <w:rPr>
          <w:i/>
          <w:sz w:val="20"/>
          <w:lang w:val="fr-FR"/>
        </w:rPr>
        <w:t xml:space="preserve"> fixer des objectifs et indicateurs de suivi.</w:t>
      </w:r>
    </w:p>
    <w:p w:rsidR="0040507E" w:rsidRPr="0040507E" w:rsidRDefault="0040507E" w:rsidP="0040507E">
      <w:pPr>
        <w:spacing w:before="9"/>
        <w:rPr>
          <w:i/>
          <w:sz w:val="17"/>
          <w:szCs w:val="20"/>
          <w:lang w:val="fr-FR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227"/>
        <w:gridCol w:w="5985"/>
      </w:tblGrid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15"/>
              <w:ind w:right="305"/>
              <w:rPr>
                <w:b/>
                <w:color w:val="676867"/>
                <w:sz w:val="20"/>
                <w:lang w:val="fr-FR"/>
              </w:rPr>
            </w:pPr>
            <w:r w:rsidRPr="0040507E">
              <w:rPr>
                <w:b/>
                <w:color w:val="676867"/>
                <w:sz w:val="20"/>
                <w:lang w:val="fr-FR"/>
              </w:rPr>
              <w:t>Mission socle/complémentaire de l’ACI à laquelle les actions se rattachent</w:t>
            </w:r>
          </w:p>
        </w:tc>
        <w:tc>
          <w:tcPr>
            <w:tcW w:w="5985" w:type="dxa"/>
            <w:vAlign w:val="center"/>
          </w:tcPr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00" w:beforeAutospacing="1" w:after="100" w:afterAutospacing="1"/>
              <w:rPr>
                <w:b/>
                <w:color w:val="676867"/>
                <w:sz w:val="20"/>
                <w:lang w:val="fr-FR"/>
              </w:rPr>
            </w:pPr>
            <w:r w:rsidRPr="0040507E">
              <w:rPr>
                <w:b/>
                <w:color w:val="676867"/>
                <w:sz w:val="20"/>
                <w:lang w:val="fr-FR"/>
              </w:rPr>
              <w:t xml:space="preserve">Principaux éléments du diagnostic territorial </w:t>
            </w:r>
            <w:r>
              <w:rPr>
                <w:b/>
                <w:color w:val="676867"/>
                <w:sz w:val="20"/>
                <w:lang w:val="fr-FR"/>
              </w:rPr>
              <w:t>en lien avec les actions</w:t>
            </w:r>
          </w:p>
        </w:tc>
        <w:tc>
          <w:tcPr>
            <w:tcW w:w="5985" w:type="dxa"/>
            <w:vAlign w:val="center"/>
          </w:tcPr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ind w:right="253"/>
              <w:rPr>
                <w:b/>
                <w:color w:val="676867"/>
                <w:sz w:val="20"/>
                <w:lang w:val="fr-FR"/>
              </w:rPr>
            </w:pPr>
            <w:r w:rsidRPr="0040507E">
              <w:rPr>
                <w:b/>
                <w:color w:val="676867"/>
                <w:sz w:val="20"/>
                <w:lang w:val="fr-FR"/>
              </w:rPr>
              <w:t>Objectif général et objectifs spécifiques</w:t>
            </w:r>
          </w:p>
        </w:tc>
        <w:tc>
          <w:tcPr>
            <w:tcW w:w="5985" w:type="dxa"/>
          </w:tcPr>
          <w:p w:rsidR="0040507E" w:rsidRPr="0040507E" w:rsidRDefault="0040507E" w:rsidP="0040507E">
            <w:pPr>
              <w:rPr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i/>
                <w:color w:val="676867"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 xml:space="preserve">L’objectif général formule les orientations à poursuivre et </w:t>
            </w:r>
          </w:p>
          <w:p w:rsidR="0040507E" w:rsidRPr="0040507E" w:rsidRDefault="0040507E" w:rsidP="0040507E">
            <w:pPr>
              <w:jc w:val="center"/>
              <w:rPr>
                <w:i/>
                <w:color w:val="676867"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 xml:space="preserve">se décline en objectifs spécifiques. Ces derniers donnent le cap à moyen terme et permettent de définir les actions à mettre en place. </w:t>
            </w:r>
            <w:r>
              <w:rPr>
                <w:i/>
                <w:color w:val="676867"/>
                <w:sz w:val="20"/>
                <w:lang w:val="fr-FR"/>
              </w:rPr>
              <w:t xml:space="preserve"> </w:t>
            </w:r>
            <w:r w:rsidRPr="0040507E">
              <w:rPr>
                <w:i/>
                <w:color w:val="676867"/>
                <w:sz w:val="20"/>
                <w:lang w:val="fr-FR"/>
              </w:rPr>
              <w:t>Ils doivent être simples, mesurables et réalistes.</w:t>
            </w:r>
          </w:p>
          <w:p w:rsidR="0040507E" w:rsidRPr="0040507E" w:rsidRDefault="0040507E" w:rsidP="0040507E">
            <w:pPr>
              <w:jc w:val="center"/>
              <w:rPr>
                <w:i/>
                <w:color w:val="676867"/>
                <w:sz w:val="20"/>
                <w:lang w:val="fr-FR"/>
              </w:rPr>
            </w:pPr>
          </w:p>
          <w:p w:rsidR="0040507E" w:rsidRPr="0040507E" w:rsidRDefault="0040507E" w:rsidP="0040507E">
            <w:pPr>
              <w:jc w:val="center"/>
              <w:rPr>
                <w:rFonts w:eastAsia="Times New Roman"/>
                <w:bCs/>
                <w:i/>
                <w:szCs w:val="20"/>
                <w:lang w:val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Default="0040507E" w:rsidP="0040507E">
            <w:pPr>
              <w:rPr>
                <w:b/>
                <w:color w:val="676867"/>
                <w:sz w:val="20"/>
              </w:rPr>
            </w:pPr>
          </w:p>
          <w:p w:rsidR="0040507E" w:rsidRDefault="0040507E" w:rsidP="0040507E">
            <w:pPr>
              <w:rPr>
                <w:b/>
                <w:color w:val="676867"/>
                <w:sz w:val="20"/>
              </w:rPr>
            </w:pPr>
            <w:r w:rsidRPr="0040507E">
              <w:rPr>
                <w:b/>
                <w:color w:val="676867"/>
                <w:sz w:val="20"/>
              </w:rPr>
              <w:t xml:space="preserve">Public </w:t>
            </w:r>
            <w:proofErr w:type="spellStart"/>
            <w:r w:rsidRPr="0040507E">
              <w:rPr>
                <w:b/>
                <w:color w:val="676867"/>
                <w:sz w:val="20"/>
              </w:rPr>
              <w:t>bénéficiaire</w:t>
            </w:r>
            <w:proofErr w:type="spellEnd"/>
          </w:p>
          <w:p w:rsidR="0040507E" w:rsidRPr="0040507E" w:rsidRDefault="0040507E" w:rsidP="0040507E">
            <w:pPr>
              <w:rPr>
                <w:b/>
                <w:color w:val="676867"/>
                <w:sz w:val="20"/>
              </w:rPr>
            </w:pPr>
          </w:p>
        </w:tc>
        <w:tc>
          <w:tcPr>
            <w:tcW w:w="5985" w:type="dxa"/>
          </w:tcPr>
          <w:p w:rsidR="0040507E" w:rsidRPr="0040507E" w:rsidRDefault="0040507E" w:rsidP="0040507E">
            <w:pPr>
              <w:ind w:left="266" w:right="284" w:hanging="360"/>
              <w:jc w:val="center"/>
              <w:rPr>
                <w:rFonts w:eastAsia="Times New Roman"/>
                <w:i/>
                <w:color w:val="676867"/>
                <w:szCs w:val="20"/>
                <w:lang w:eastAsia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20" w:after="120"/>
              <w:rPr>
                <w:rFonts w:eastAsia="Times New Roman"/>
                <w:b/>
                <w:color w:val="676867"/>
                <w:szCs w:val="20"/>
                <w:lang w:eastAsia="fr-FR"/>
              </w:rPr>
            </w:pPr>
            <w:r w:rsidRPr="0040507E">
              <w:rPr>
                <w:b/>
                <w:color w:val="676867"/>
                <w:sz w:val="20"/>
              </w:rPr>
              <w:t xml:space="preserve">Actions </w:t>
            </w:r>
            <w:proofErr w:type="spellStart"/>
            <w:r w:rsidRPr="0040507E">
              <w:rPr>
                <w:b/>
                <w:color w:val="676867"/>
                <w:sz w:val="20"/>
              </w:rPr>
              <w:t>envisagées</w:t>
            </w:r>
            <w:proofErr w:type="spellEnd"/>
          </w:p>
        </w:tc>
        <w:tc>
          <w:tcPr>
            <w:tcW w:w="5985" w:type="dxa"/>
          </w:tcPr>
          <w:p w:rsidR="0040507E" w:rsidRPr="0040507E" w:rsidRDefault="0040507E" w:rsidP="0040507E">
            <w:pPr>
              <w:spacing w:before="6"/>
              <w:rPr>
                <w:i/>
                <w:sz w:val="19"/>
                <w:lang w:val="fr-FR"/>
              </w:rPr>
            </w:pPr>
          </w:p>
          <w:p w:rsidR="0040507E" w:rsidRDefault="0040507E" w:rsidP="0040507E">
            <w:pPr>
              <w:ind w:left="283" w:right="283"/>
              <w:jc w:val="center"/>
              <w:rPr>
                <w:i/>
                <w:color w:val="676867"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>Actions envisagées pour atteindre les objectifs spécifiques.</w:t>
            </w:r>
          </w:p>
          <w:p w:rsidR="0040507E" w:rsidRPr="0040507E" w:rsidRDefault="0040507E" w:rsidP="0040507E">
            <w:pPr>
              <w:ind w:left="283" w:right="283"/>
              <w:jc w:val="center"/>
              <w:rPr>
                <w:rFonts w:eastAsia="Times New Roman"/>
                <w:noProof/>
                <w:color w:val="676867"/>
                <w:szCs w:val="20"/>
                <w:lang w:val="fr-FR" w:eastAsia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00" w:beforeAutospacing="1" w:after="100" w:afterAutospacing="1"/>
              <w:rPr>
                <w:rFonts w:eastAsia="Times New Roman"/>
                <w:b/>
                <w:color w:val="676867"/>
                <w:szCs w:val="20"/>
                <w:lang w:eastAsia="fr-FR"/>
              </w:rPr>
            </w:pPr>
            <w:proofErr w:type="spellStart"/>
            <w:r w:rsidRPr="0040507E">
              <w:rPr>
                <w:b/>
                <w:color w:val="676867"/>
                <w:sz w:val="20"/>
              </w:rPr>
              <w:t>Moyens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</w:t>
            </w:r>
            <w:proofErr w:type="spellStart"/>
            <w:r w:rsidRPr="0040507E">
              <w:rPr>
                <w:b/>
                <w:color w:val="676867"/>
                <w:sz w:val="20"/>
              </w:rPr>
              <w:t>nécessaires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(</w:t>
            </w:r>
            <w:proofErr w:type="spellStart"/>
            <w:r w:rsidRPr="0040507E">
              <w:rPr>
                <w:b/>
                <w:color w:val="676867"/>
                <w:sz w:val="20"/>
              </w:rPr>
              <w:t>outils</w:t>
            </w:r>
            <w:proofErr w:type="spellEnd"/>
            <w:r w:rsidRPr="0040507E">
              <w:rPr>
                <w:b/>
                <w:color w:val="676867"/>
                <w:sz w:val="20"/>
              </w:rPr>
              <w:t>)</w:t>
            </w:r>
          </w:p>
        </w:tc>
        <w:tc>
          <w:tcPr>
            <w:tcW w:w="5985" w:type="dxa"/>
          </w:tcPr>
          <w:p w:rsidR="0040507E" w:rsidRPr="0040507E" w:rsidRDefault="0040507E" w:rsidP="0040507E">
            <w:pPr>
              <w:spacing w:before="6"/>
              <w:rPr>
                <w:i/>
                <w:sz w:val="19"/>
                <w:lang w:val="fr-FR"/>
              </w:rPr>
            </w:pPr>
          </w:p>
          <w:p w:rsidR="0040507E" w:rsidRPr="0040507E" w:rsidRDefault="0040507E" w:rsidP="0040507E">
            <w:pPr>
              <w:spacing w:line="229" w:lineRule="exact"/>
              <w:ind w:left="394" w:right="397"/>
              <w:jc w:val="center"/>
              <w:rPr>
                <w:i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>Ils sont définis en fonctions des actions envisagées.</w:t>
            </w:r>
          </w:p>
          <w:p w:rsidR="0040507E" w:rsidRDefault="0040507E" w:rsidP="0040507E">
            <w:pPr>
              <w:ind w:left="836" w:right="283" w:hanging="360"/>
              <w:rPr>
                <w:i/>
                <w:color w:val="676867"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>Les modalités de travail entre les acteurs impliqués doivent notamment être décrites, tout comme les systèmes d’information utilisés.</w:t>
            </w:r>
          </w:p>
          <w:p w:rsidR="0040507E" w:rsidRPr="0040507E" w:rsidRDefault="0040507E" w:rsidP="0040507E">
            <w:pPr>
              <w:ind w:left="836" w:right="283" w:hanging="360"/>
              <w:rPr>
                <w:rFonts w:eastAsia="Times New Roman"/>
                <w:i/>
                <w:color w:val="676867"/>
                <w:szCs w:val="20"/>
                <w:lang w:val="fr-FR" w:eastAsia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00" w:beforeAutospacing="1" w:after="100" w:afterAutospacing="1"/>
              <w:rPr>
                <w:rFonts w:eastAsia="Times New Roman"/>
                <w:b/>
                <w:color w:val="676867"/>
                <w:szCs w:val="20"/>
                <w:lang w:eastAsia="fr-FR"/>
              </w:rPr>
            </w:pPr>
            <w:proofErr w:type="spellStart"/>
            <w:r w:rsidRPr="0040507E">
              <w:rPr>
                <w:b/>
                <w:color w:val="676867"/>
                <w:sz w:val="20"/>
              </w:rPr>
              <w:t>Acteurs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</w:t>
            </w:r>
            <w:proofErr w:type="spellStart"/>
            <w:r w:rsidRPr="0040507E">
              <w:rPr>
                <w:b/>
                <w:color w:val="676867"/>
                <w:sz w:val="20"/>
              </w:rPr>
              <w:t>impliqués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et </w:t>
            </w:r>
            <w:proofErr w:type="spellStart"/>
            <w:r w:rsidRPr="0040507E">
              <w:rPr>
                <w:b/>
                <w:color w:val="676867"/>
                <w:sz w:val="20"/>
              </w:rPr>
              <w:t>Partenaires</w:t>
            </w:r>
            <w:proofErr w:type="spellEnd"/>
          </w:p>
        </w:tc>
        <w:tc>
          <w:tcPr>
            <w:tcW w:w="5985" w:type="dxa"/>
          </w:tcPr>
          <w:p w:rsidR="0040507E" w:rsidRDefault="0040507E" w:rsidP="0040507E">
            <w:pPr>
              <w:ind w:left="283" w:right="283"/>
              <w:jc w:val="center"/>
              <w:rPr>
                <w:i/>
                <w:color w:val="676867"/>
                <w:sz w:val="20"/>
                <w:lang w:val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>La pluri-professionnalité dans la mise en œuvre des actions est un critère indispensable pour la validation du projet de santé.</w:t>
            </w:r>
          </w:p>
          <w:p w:rsidR="0040507E" w:rsidRPr="0040507E" w:rsidRDefault="0040507E" w:rsidP="0040507E">
            <w:pPr>
              <w:ind w:left="283" w:right="283"/>
              <w:jc w:val="center"/>
              <w:rPr>
                <w:rFonts w:eastAsia="Times New Roman"/>
                <w:i/>
                <w:noProof/>
                <w:color w:val="676867"/>
                <w:szCs w:val="20"/>
                <w:lang w:val="fr-FR" w:eastAsia="fr-FR"/>
              </w:rPr>
            </w:pP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00" w:beforeAutospacing="1" w:after="100" w:afterAutospacing="1"/>
              <w:rPr>
                <w:rFonts w:eastAsia="Times New Roman"/>
                <w:b/>
                <w:color w:val="676867"/>
                <w:szCs w:val="20"/>
                <w:lang w:eastAsia="fr-FR"/>
              </w:rPr>
            </w:pPr>
            <w:proofErr w:type="spellStart"/>
            <w:r w:rsidRPr="0040507E">
              <w:rPr>
                <w:b/>
                <w:color w:val="676867"/>
                <w:sz w:val="20"/>
              </w:rPr>
              <w:t>Coordonnateur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de </w:t>
            </w:r>
            <w:proofErr w:type="spellStart"/>
            <w:r w:rsidRPr="0040507E">
              <w:rPr>
                <w:b/>
                <w:color w:val="676867"/>
                <w:sz w:val="20"/>
              </w:rPr>
              <w:t>l’action</w:t>
            </w:r>
            <w:proofErr w:type="spellEnd"/>
          </w:p>
        </w:tc>
        <w:tc>
          <w:tcPr>
            <w:tcW w:w="5985" w:type="dxa"/>
          </w:tcPr>
          <w:p w:rsidR="0040507E" w:rsidRPr="0040507E" w:rsidRDefault="0040507E" w:rsidP="0040507E">
            <w:pPr>
              <w:ind w:left="283" w:right="283"/>
              <w:jc w:val="center"/>
              <w:rPr>
                <w:rFonts w:eastAsia="Times New Roman"/>
                <w:color w:val="676867"/>
                <w:szCs w:val="20"/>
                <w:lang w:val="fr-FR" w:eastAsia="fr-FR"/>
              </w:rPr>
            </w:pPr>
            <w:r w:rsidRPr="0040507E">
              <w:rPr>
                <w:i/>
                <w:color w:val="676867"/>
                <w:sz w:val="20"/>
                <w:lang w:val="fr-FR"/>
              </w:rPr>
              <w:t>Membre de la CPTS qui coordonne l’action. Il est le référent et s’assure de la mise en œuvre de l’action et</w:t>
            </w:r>
            <w:r w:rsidRPr="0040507E">
              <w:rPr>
                <w:i/>
                <w:color w:val="676867"/>
                <w:spacing w:val="-18"/>
                <w:sz w:val="20"/>
                <w:lang w:val="fr-FR"/>
              </w:rPr>
              <w:t xml:space="preserve"> </w:t>
            </w:r>
            <w:r w:rsidRPr="0040507E">
              <w:rPr>
                <w:i/>
                <w:color w:val="676867"/>
                <w:sz w:val="20"/>
                <w:lang w:val="fr-FR"/>
              </w:rPr>
              <w:t>de son suivi. Il assure le lien avec les instances de gouvernance et la coordination générale de la</w:t>
            </w:r>
            <w:r w:rsidRPr="0040507E">
              <w:rPr>
                <w:i/>
                <w:color w:val="676867"/>
                <w:spacing w:val="-24"/>
                <w:sz w:val="20"/>
                <w:lang w:val="fr-FR"/>
              </w:rPr>
              <w:t xml:space="preserve"> </w:t>
            </w:r>
            <w:r w:rsidRPr="0040507E">
              <w:rPr>
                <w:i/>
                <w:color w:val="676867"/>
                <w:sz w:val="20"/>
                <w:lang w:val="fr-FR"/>
              </w:rPr>
              <w:t>CPTS.</w:t>
            </w:r>
          </w:p>
        </w:tc>
      </w:tr>
      <w:tr w:rsidR="0040507E" w:rsidRPr="0040507E" w:rsidTr="00D91717">
        <w:tc>
          <w:tcPr>
            <w:tcW w:w="3227" w:type="dxa"/>
            <w:vAlign w:val="center"/>
          </w:tcPr>
          <w:p w:rsidR="0040507E" w:rsidRPr="0040507E" w:rsidRDefault="0040507E" w:rsidP="0040507E">
            <w:pPr>
              <w:spacing w:before="115"/>
              <w:ind w:left="103"/>
              <w:rPr>
                <w:b/>
                <w:sz w:val="20"/>
              </w:rPr>
            </w:pPr>
            <w:proofErr w:type="spellStart"/>
            <w:r w:rsidRPr="0040507E">
              <w:rPr>
                <w:b/>
                <w:color w:val="676867"/>
                <w:sz w:val="20"/>
              </w:rPr>
              <w:t>Calendrier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</w:t>
            </w:r>
            <w:proofErr w:type="spellStart"/>
            <w:r w:rsidRPr="0040507E">
              <w:rPr>
                <w:b/>
                <w:color w:val="676867"/>
                <w:sz w:val="20"/>
              </w:rPr>
              <w:t>indicatif</w:t>
            </w:r>
            <w:proofErr w:type="spellEnd"/>
            <w:r w:rsidRPr="0040507E">
              <w:rPr>
                <w:b/>
                <w:color w:val="676867"/>
                <w:sz w:val="20"/>
              </w:rPr>
              <w:t xml:space="preserve"> :</w:t>
            </w:r>
          </w:p>
          <w:p w:rsidR="0040507E" w:rsidRPr="0040507E" w:rsidRDefault="0040507E" w:rsidP="0040507E">
            <w:pPr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1" w:line="244" w:lineRule="exact"/>
              <w:rPr>
                <w:b/>
                <w:sz w:val="20"/>
                <w:lang w:val="fr-FR"/>
              </w:rPr>
            </w:pPr>
            <w:r w:rsidRPr="0040507E">
              <w:rPr>
                <w:b/>
                <w:color w:val="676867"/>
                <w:sz w:val="20"/>
                <w:lang w:val="fr-FR"/>
              </w:rPr>
              <w:t>Début de la mise en place</w:t>
            </w:r>
          </w:p>
          <w:p w:rsidR="0040507E" w:rsidRPr="0040507E" w:rsidRDefault="0040507E" w:rsidP="0040507E">
            <w:pPr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1" w:line="244" w:lineRule="exact"/>
              <w:rPr>
                <w:b/>
                <w:sz w:val="20"/>
              </w:rPr>
            </w:pPr>
            <w:r w:rsidRPr="0040507E">
              <w:rPr>
                <w:b/>
                <w:color w:val="676867"/>
                <w:sz w:val="20"/>
                <w:lang w:val="fr-FR"/>
              </w:rPr>
              <w:t>E</w:t>
            </w:r>
            <w:r w:rsidRPr="0040507E">
              <w:rPr>
                <w:b/>
                <w:color w:val="676867"/>
                <w:sz w:val="20"/>
              </w:rPr>
              <w:t>tapes</w:t>
            </w:r>
            <w:r w:rsidRPr="0040507E">
              <w:rPr>
                <w:b/>
                <w:color w:val="676867"/>
                <w:spacing w:val="-4"/>
                <w:sz w:val="20"/>
              </w:rPr>
              <w:t xml:space="preserve"> </w:t>
            </w:r>
            <w:proofErr w:type="spellStart"/>
            <w:r w:rsidRPr="0040507E">
              <w:rPr>
                <w:b/>
                <w:color w:val="676867"/>
                <w:sz w:val="20"/>
              </w:rPr>
              <w:t>clé</w:t>
            </w:r>
            <w:proofErr w:type="spellEnd"/>
          </w:p>
          <w:p w:rsidR="0040507E" w:rsidRPr="0040507E" w:rsidRDefault="0040507E" w:rsidP="0040507E">
            <w:pPr>
              <w:tabs>
                <w:tab w:val="left" w:pos="463"/>
                <w:tab w:val="left" w:pos="464"/>
              </w:tabs>
              <w:spacing w:line="244" w:lineRule="exact"/>
              <w:rPr>
                <w:b/>
                <w:sz w:val="20"/>
              </w:rPr>
            </w:pPr>
          </w:p>
        </w:tc>
        <w:tc>
          <w:tcPr>
            <w:tcW w:w="5985" w:type="dxa"/>
            <w:vAlign w:val="center"/>
          </w:tcPr>
          <w:p w:rsidR="0040507E" w:rsidRPr="0040507E" w:rsidRDefault="0040507E" w:rsidP="0040507E">
            <w:pPr>
              <w:ind w:left="283" w:right="283"/>
              <w:jc w:val="center"/>
              <w:rPr>
                <w:rFonts w:eastAsia="Times New Roman"/>
                <w:i/>
                <w:color w:val="676867"/>
                <w:szCs w:val="20"/>
                <w:lang w:eastAsia="fr-FR"/>
              </w:rPr>
            </w:pPr>
          </w:p>
        </w:tc>
      </w:tr>
    </w:tbl>
    <w:p w:rsidR="00C21DD6" w:rsidRPr="0040507E" w:rsidRDefault="00C21DD6" w:rsidP="0040507E">
      <w:pPr>
        <w:rPr>
          <w:lang w:val="fr-FR"/>
        </w:rPr>
      </w:pPr>
    </w:p>
    <w:sectPr w:rsidR="00C21DD6" w:rsidRPr="004050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7E" w:rsidRDefault="0040507E" w:rsidP="0040507E">
      <w:r>
        <w:separator/>
      </w:r>
    </w:p>
  </w:endnote>
  <w:endnote w:type="continuationSeparator" w:id="0">
    <w:p w:rsidR="0040507E" w:rsidRDefault="0040507E" w:rsidP="004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7E" w:rsidRDefault="0040507E" w:rsidP="0040507E">
      <w:r>
        <w:separator/>
      </w:r>
    </w:p>
  </w:footnote>
  <w:footnote w:type="continuationSeparator" w:id="0">
    <w:p w:rsidR="0040507E" w:rsidRDefault="0040507E" w:rsidP="0040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7E" w:rsidRDefault="0040507E" w:rsidP="0040507E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6F13A7" wp14:editId="1451E568">
              <wp:simplePos x="0" y="0"/>
              <wp:positionH relativeFrom="page">
                <wp:posOffset>1866265</wp:posOffset>
              </wp:positionH>
              <wp:positionV relativeFrom="page">
                <wp:posOffset>352425</wp:posOffset>
              </wp:positionV>
              <wp:extent cx="3552825" cy="3810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7E" w:rsidRDefault="0040507E" w:rsidP="0040507E">
                          <w:pPr>
                            <w:spacing w:before="12"/>
                            <w:ind w:left="20"/>
                            <w:jc w:val="center"/>
                            <w:rPr>
                              <w:i/>
                              <w:sz w:val="20"/>
                              <w:lang w:val="fr-FR"/>
                            </w:rPr>
                          </w:pPr>
                          <w:r w:rsidRPr="00175BC7">
                            <w:rPr>
                              <w:i/>
                              <w:sz w:val="20"/>
                              <w:lang w:val="fr-FR"/>
                            </w:rPr>
                            <w:t>CPTS - Cahier des charges régional PACA</w:t>
                          </w:r>
                          <w:r>
                            <w:rPr>
                              <w:i/>
                              <w:sz w:val="20"/>
                              <w:lang w:val="fr-FR"/>
                            </w:rPr>
                            <w:t xml:space="preserve"> 2020</w:t>
                          </w:r>
                          <w:r w:rsidRPr="00175BC7">
                            <w:rPr>
                              <w:i/>
                              <w:sz w:val="2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fr-FR"/>
                            </w:rPr>
                            <w:t>–</w:t>
                          </w:r>
                          <w:r w:rsidRPr="00175BC7">
                            <w:rPr>
                              <w:i/>
                              <w:sz w:val="20"/>
                              <w:lang w:val="fr-FR"/>
                            </w:rPr>
                            <w:t xml:space="preserve"> Annexes</w:t>
                          </w:r>
                          <w:r>
                            <w:rPr>
                              <w:i/>
                              <w:sz w:val="20"/>
                              <w:lang w:val="fr-FR"/>
                            </w:rPr>
                            <w:t xml:space="preserve"> -</w:t>
                          </w:r>
                        </w:p>
                        <w:p w:rsidR="0040507E" w:rsidRPr="00175BC7" w:rsidRDefault="0040507E" w:rsidP="0040507E">
                          <w:pPr>
                            <w:spacing w:before="12"/>
                            <w:ind w:left="20"/>
                            <w:jc w:val="center"/>
                            <w:rPr>
                              <w:i/>
                              <w:sz w:val="20"/>
                              <w:lang w:val="fr-FR"/>
                            </w:rPr>
                          </w:pPr>
                          <w:r>
                            <w:rPr>
                              <w:i/>
                              <w:sz w:val="20"/>
                              <w:lang w:val="fr-FR"/>
                            </w:rPr>
                            <w:t>Trame de fiche-actions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95pt;margin-top:27.75pt;width:279.7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" filled="f" stroked="f">
              <v:textbox inset="0,0,0,0">
                <w:txbxContent>
                  <w:p w:rsidR="0040507E" w:rsidRDefault="0040507E" w:rsidP="0040507E">
                    <w:pPr>
                      <w:spacing w:before="12"/>
                      <w:ind w:left="20"/>
                      <w:jc w:val="center"/>
                      <w:rPr>
                        <w:i/>
                        <w:sz w:val="20"/>
                        <w:lang w:val="fr-FR"/>
                      </w:rPr>
                    </w:pPr>
                    <w:r w:rsidRPr="00175BC7">
                      <w:rPr>
                        <w:i/>
                        <w:sz w:val="20"/>
                        <w:lang w:val="fr-FR"/>
                      </w:rPr>
                      <w:t>CPTS - Cahier des charges régional PACA</w:t>
                    </w:r>
                    <w:r>
                      <w:rPr>
                        <w:i/>
                        <w:sz w:val="20"/>
                        <w:lang w:val="fr-FR"/>
                      </w:rPr>
                      <w:t xml:space="preserve"> 2020</w:t>
                    </w:r>
                    <w:r w:rsidRPr="00175BC7">
                      <w:rPr>
                        <w:i/>
                        <w:sz w:val="20"/>
                        <w:lang w:val="fr-FR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fr-FR"/>
                      </w:rPr>
                      <w:t>–</w:t>
                    </w:r>
                    <w:r w:rsidRPr="00175BC7">
                      <w:rPr>
                        <w:i/>
                        <w:sz w:val="20"/>
                        <w:lang w:val="fr-FR"/>
                      </w:rPr>
                      <w:t xml:space="preserve"> Annexes</w:t>
                    </w:r>
                    <w:r>
                      <w:rPr>
                        <w:i/>
                        <w:sz w:val="20"/>
                        <w:lang w:val="fr-FR"/>
                      </w:rPr>
                      <w:t xml:space="preserve"> -</w:t>
                    </w:r>
                  </w:p>
                  <w:p w:rsidR="0040507E" w:rsidRPr="00175BC7" w:rsidRDefault="0040507E" w:rsidP="0040507E">
                    <w:pPr>
                      <w:spacing w:before="12"/>
                      <w:ind w:left="20"/>
                      <w:jc w:val="center"/>
                      <w:rPr>
                        <w:i/>
                        <w:sz w:val="20"/>
                        <w:lang w:val="fr-FR"/>
                      </w:rPr>
                    </w:pPr>
                    <w:r>
                      <w:rPr>
                        <w:i/>
                        <w:sz w:val="20"/>
                        <w:lang w:val="fr-FR"/>
                      </w:rPr>
                      <w:t>Trame de fiche-actions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4974AF50" wp14:editId="1C765D8A">
          <wp:simplePos x="0" y="0"/>
          <wp:positionH relativeFrom="page">
            <wp:posOffset>5748654</wp:posOffset>
          </wp:positionH>
          <wp:positionV relativeFrom="page">
            <wp:posOffset>280669</wp:posOffset>
          </wp:positionV>
          <wp:extent cx="769620" cy="419100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62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251660288" behindDoc="1" locked="0" layoutInCell="1" allowOverlap="1" wp14:anchorId="03EF49EF" wp14:editId="0DF3FE4A">
          <wp:simplePos x="0" y="0"/>
          <wp:positionH relativeFrom="page">
            <wp:posOffset>990600</wp:posOffset>
          </wp:positionH>
          <wp:positionV relativeFrom="page">
            <wp:posOffset>355599</wp:posOffset>
          </wp:positionV>
          <wp:extent cx="476250" cy="273050"/>
          <wp:effectExtent l="0" t="0" r="0" b="0"/>
          <wp:wrapNone/>
          <wp:docPr id="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507E" w:rsidRDefault="004050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8F2"/>
    <w:multiLevelType w:val="multilevel"/>
    <w:tmpl w:val="BF5E0114"/>
    <w:lvl w:ilvl="0">
      <w:start w:val="1"/>
      <w:numFmt w:val="decimal"/>
      <w:pStyle w:val="Titre1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>
    <w:nsid w:val="415E0736"/>
    <w:multiLevelType w:val="multilevel"/>
    <w:tmpl w:val="6ACE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pStyle w:val="Titre2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4225474E"/>
    <w:multiLevelType w:val="hybridMultilevel"/>
    <w:tmpl w:val="57CA390C"/>
    <w:lvl w:ilvl="0" w:tplc="CB06611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676867"/>
        <w:w w:val="99"/>
        <w:sz w:val="20"/>
        <w:szCs w:val="20"/>
      </w:rPr>
    </w:lvl>
    <w:lvl w:ilvl="1" w:tplc="B562F938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5C7C73EC">
      <w:numFmt w:val="bullet"/>
      <w:lvlText w:val="•"/>
      <w:lvlJc w:val="left"/>
      <w:pPr>
        <w:ind w:left="1011" w:hanging="360"/>
      </w:pPr>
      <w:rPr>
        <w:rFonts w:hint="default"/>
      </w:rPr>
    </w:lvl>
    <w:lvl w:ilvl="3" w:tplc="B75CEEA8">
      <w:numFmt w:val="bullet"/>
      <w:lvlText w:val="•"/>
      <w:lvlJc w:val="left"/>
      <w:pPr>
        <w:ind w:left="1287" w:hanging="360"/>
      </w:pPr>
      <w:rPr>
        <w:rFonts w:hint="default"/>
      </w:rPr>
    </w:lvl>
    <w:lvl w:ilvl="4" w:tplc="32568B20">
      <w:numFmt w:val="bullet"/>
      <w:lvlText w:val="•"/>
      <w:lvlJc w:val="left"/>
      <w:pPr>
        <w:ind w:left="1563" w:hanging="360"/>
      </w:pPr>
      <w:rPr>
        <w:rFonts w:hint="default"/>
      </w:rPr>
    </w:lvl>
    <w:lvl w:ilvl="5" w:tplc="F09C456E">
      <w:numFmt w:val="bullet"/>
      <w:lvlText w:val="•"/>
      <w:lvlJc w:val="left"/>
      <w:pPr>
        <w:ind w:left="1839" w:hanging="360"/>
      </w:pPr>
      <w:rPr>
        <w:rFonts w:hint="default"/>
      </w:rPr>
    </w:lvl>
    <w:lvl w:ilvl="6" w:tplc="E27C70C8">
      <w:numFmt w:val="bullet"/>
      <w:lvlText w:val="•"/>
      <w:lvlJc w:val="left"/>
      <w:pPr>
        <w:ind w:left="2115" w:hanging="360"/>
      </w:pPr>
      <w:rPr>
        <w:rFonts w:hint="default"/>
      </w:rPr>
    </w:lvl>
    <w:lvl w:ilvl="7" w:tplc="19B80040">
      <w:numFmt w:val="bullet"/>
      <w:lvlText w:val="•"/>
      <w:lvlJc w:val="left"/>
      <w:pPr>
        <w:ind w:left="2391" w:hanging="360"/>
      </w:pPr>
      <w:rPr>
        <w:rFonts w:hint="default"/>
      </w:rPr>
    </w:lvl>
    <w:lvl w:ilvl="8" w:tplc="073CC5D2">
      <w:numFmt w:val="bullet"/>
      <w:lvlText w:val="•"/>
      <w:lvlJc w:val="left"/>
      <w:pPr>
        <w:ind w:left="2667" w:hanging="360"/>
      </w:pPr>
      <w:rPr>
        <w:rFonts w:hint="default"/>
      </w:rPr>
    </w:lvl>
  </w:abstractNum>
  <w:abstractNum w:abstractNumId="3">
    <w:nsid w:val="4B3C0336"/>
    <w:multiLevelType w:val="multilevel"/>
    <w:tmpl w:val="55FC2DFA"/>
    <w:lvl w:ilvl="0">
      <w:start w:val="1"/>
      <w:numFmt w:val="decimal"/>
      <w:pStyle w:val="T1"/>
      <w:lvlText w:val="%1."/>
      <w:lvlJc w:val="left"/>
      <w:pPr>
        <w:ind w:left="360" w:hanging="360"/>
      </w:p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FA7E6E"/>
    <w:multiLevelType w:val="multilevel"/>
    <w:tmpl w:val="AF6C5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A9"/>
    <w:rsid w:val="0040507E"/>
    <w:rsid w:val="004F4C2F"/>
    <w:rsid w:val="00724AA9"/>
    <w:rsid w:val="008A3230"/>
    <w:rsid w:val="00C21DD6"/>
    <w:rsid w:val="00D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A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A3230"/>
    <w:pPr>
      <w:keepNext/>
      <w:keepLines/>
      <w:numPr>
        <w:numId w:val="5"/>
      </w:numPr>
      <w:spacing w:before="480"/>
      <w:ind w:left="720"/>
      <w:jc w:val="both"/>
      <w:outlineLvl w:val="0"/>
    </w:pPr>
    <w:rPr>
      <w:rFonts w:eastAsiaTheme="majorEastAsia"/>
      <w:b/>
      <w:bCs/>
      <w:color w:val="1F497D" w:themeColor="text2"/>
      <w:sz w:val="24"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A3230"/>
    <w:pPr>
      <w:keepNext/>
      <w:keepLines/>
      <w:numPr>
        <w:ilvl w:val="2"/>
        <w:numId w:val="3"/>
      </w:numPr>
      <w:spacing w:before="200"/>
      <w:ind w:left="1224"/>
      <w:jc w:val="both"/>
      <w:outlineLvl w:val="1"/>
    </w:pPr>
    <w:rPr>
      <w:rFonts w:eastAsiaTheme="majorEastAsia"/>
      <w:b/>
      <w:bCs/>
      <w:color w:val="1F497D" w:themeColor="text2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A3230"/>
    <w:pPr>
      <w:keepNext/>
      <w:keepLines/>
      <w:numPr>
        <w:ilvl w:val="2"/>
        <w:numId w:val="1"/>
      </w:numPr>
      <w:spacing w:before="200"/>
      <w:ind w:left="504"/>
      <w:outlineLvl w:val="2"/>
    </w:pPr>
    <w:rPr>
      <w:rFonts w:eastAsiaTheme="majorEastAsia"/>
      <w:b/>
      <w:bCs/>
      <w:color w:val="548DD4" w:themeColor="text2" w:themeTint="99"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8A3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3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A3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3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3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3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8A3230"/>
    <w:rPr>
      <w:rFonts w:ascii="Arial" w:eastAsiaTheme="majorEastAsia" w:hAnsi="Arial" w:cs="Arial"/>
      <w:b/>
      <w:bCs/>
      <w:color w:val="1F497D" w:themeColor="tex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3230"/>
    <w:pPr>
      <w:ind w:left="720"/>
      <w:contextualSpacing/>
    </w:pPr>
  </w:style>
  <w:style w:type="paragraph" w:customStyle="1" w:styleId="T1">
    <w:name w:val="T1"/>
    <w:basedOn w:val="Titre1"/>
    <w:link w:val="T1Car"/>
    <w:qFormat/>
    <w:rsid w:val="008A3230"/>
    <w:pPr>
      <w:numPr>
        <w:numId w:val="7"/>
      </w:numPr>
    </w:pPr>
  </w:style>
  <w:style w:type="character" w:customStyle="1" w:styleId="T1Car">
    <w:name w:val="T1 Car"/>
    <w:basedOn w:val="Titre1Car"/>
    <w:link w:val="T1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paragraph" w:customStyle="1" w:styleId="T2">
    <w:name w:val="T2"/>
    <w:basedOn w:val="T1"/>
    <w:link w:val="T2Car"/>
    <w:qFormat/>
    <w:rsid w:val="008A3230"/>
    <w:pPr>
      <w:numPr>
        <w:ilvl w:val="1"/>
        <w:numId w:val="4"/>
      </w:numPr>
    </w:pPr>
  </w:style>
  <w:style w:type="character" w:customStyle="1" w:styleId="T2Car">
    <w:name w:val="T2 Car"/>
    <w:basedOn w:val="T1Car"/>
    <w:link w:val="T2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A3230"/>
    <w:rPr>
      <w:rFonts w:ascii="Arial" w:eastAsiaTheme="majorEastAsia" w:hAnsi="Arial" w:cs="Arial"/>
      <w:b/>
      <w:bCs/>
      <w:color w:val="548DD4" w:themeColor="text2" w:themeTint="99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A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A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A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A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A3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A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A323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323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8A3230"/>
    <w:rPr>
      <w:b/>
      <w:bCs/>
    </w:rPr>
  </w:style>
  <w:style w:type="character" w:styleId="Accentuation">
    <w:name w:val="Emphasis"/>
    <w:basedOn w:val="Policepardfaut"/>
    <w:uiPriority w:val="20"/>
    <w:qFormat/>
    <w:rsid w:val="008A3230"/>
    <w:rPr>
      <w:i/>
      <w:iCs/>
    </w:rPr>
  </w:style>
  <w:style w:type="paragraph" w:styleId="Sansinterligne">
    <w:name w:val="No Spacing"/>
    <w:link w:val="SansinterligneCar"/>
    <w:uiPriority w:val="1"/>
    <w:qFormat/>
    <w:rsid w:val="008A323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A3230"/>
  </w:style>
  <w:style w:type="paragraph" w:styleId="Citation">
    <w:name w:val="Quote"/>
    <w:basedOn w:val="Normal"/>
    <w:next w:val="Normal"/>
    <w:link w:val="CitationCar"/>
    <w:uiPriority w:val="29"/>
    <w:qFormat/>
    <w:rsid w:val="008A3230"/>
    <w:rPr>
      <w:rFonts w:asciiTheme="minorHAnsi" w:hAnsi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A323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2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230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A323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A32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A323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A323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A323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3230"/>
    <w:pPr>
      <w:numPr>
        <w:numId w:val="0"/>
      </w:numPr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724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24AA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24AA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24AA9"/>
    <w:pPr>
      <w:ind w:left="103"/>
    </w:pPr>
  </w:style>
  <w:style w:type="table" w:styleId="Grilledutableau">
    <w:name w:val="Table Grid"/>
    <w:basedOn w:val="TableauNormal"/>
    <w:uiPriority w:val="59"/>
    <w:rsid w:val="004050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07E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05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07E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A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A3230"/>
    <w:pPr>
      <w:keepNext/>
      <w:keepLines/>
      <w:numPr>
        <w:numId w:val="5"/>
      </w:numPr>
      <w:spacing w:before="480"/>
      <w:ind w:left="720"/>
      <w:jc w:val="both"/>
      <w:outlineLvl w:val="0"/>
    </w:pPr>
    <w:rPr>
      <w:rFonts w:eastAsiaTheme="majorEastAsia"/>
      <w:b/>
      <w:bCs/>
      <w:color w:val="1F497D" w:themeColor="text2"/>
      <w:sz w:val="24"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A3230"/>
    <w:pPr>
      <w:keepNext/>
      <w:keepLines/>
      <w:numPr>
        <w:ilvl w:val="2"/>
        <w:numId w:val="3"/>
      </w:numPr>
      <w:spacing w:before="200"/>
      <w:ind w:left="1224"/>
      <w:jc w:val="both"/>
      <w:outlineLvl w:val="1"/>
    </w:pPr>
    <w:rPr>
      <w:rFonts w:eastAsiaTheme="majorEastAsia"/>
      <w:b/>
      <w:bCs/>
      <w:color w:val="1F497D" w:themeColor="text2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A3230"/>
    <w:pPr>
      <w:keepNext/>
      <w:keepLines/>
      <w:numPr>
        <w:ilvl w:val="2"/>
        <w:numId w:val="1"/>
      </w:numPr>
      <w:spacing w:before="200"/>
      <w:ind w:left="504"/>
      <w:outlineLvl w:val="2"/>
    </w:pPr>
    <w:rPr>
      <w:rFonts w:eastAsiaTheme="majorEastAsia"/>
      <w:b/>
      <w:bCs/>
      <w:color w:val="548DD4" w:themeColor="text2" w:themeTint="99"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8A3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3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A3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3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3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3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8A3230"/>
    <w:rPr>
      <w:rFonts w:ascii="Arial" w:eastAsiaTheme="majorEastAsia" w:hAnsi="Arial" w:cs="Arial"/>
      <w:b/>
      <w:bCs/>
      <w:color w:val="1F497D" w:themeColor="tex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3230"/>
    <w:pPr>
      <w:ind w:left="720"/>
      <w:contextualSpacing/>
    </w:pPr>
  </w:style>
  <w:style w:type="paragraph" w:customStyle="1" w:styleId="T1">
    <w:name w:val="T1"/>
    <w:basedOn w:val="Titre1"/>
    <w:link w:val="T1Car"/>
    <w:qFormat/>
    <w:rsid w:val="008A3230"/>
    <w:pPr>
      <w:numPr>
        <w:numId w:val="7"/>
      </w:numPr>
    </w:pPr>
  </w:style>
  <w:style w:type="character" w:customStyle="1" w:styleId="T1Car">
    <w:name w:val="T1 Car"/>
    <w:basedOn w:val="Titre1Car"/>
    <w:link w:val="T1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paragraph" w:customStyle="1" w:styleId="T2">
    <w:name w:val="T2"/>
    <w:basedOn w:val="T1"/>
    <w:link w:val="T2Car"/>
    <w:qFormat/>
    <w:rsid w:val="008A3230"/>
    <w:pPr>
      <w:numPr>
        <w:ilvl w:val="1"/>
        <w:numId w:val="4"/>
      </w:numPr>
    </w:pPr>
  </w:style>
  <w:style w:type="character" w:customStyle="1" w:styleId="T2Car">
    <w:name w:val="T2 Car"/>
    <w:basedOn w:val="T1Car"/>
    <w:link w:val="T2"/>
    <w:rsid w:val="008A3230"/>
    <w:rPr>
      <w:rFonts w:ascii="Arial" w:eastAsiaTheme="majorEastAsia" w:hAnsi="Arial" w:cs="Arial"/>
      <w:b/>
      <w:bCs/>
      <w:color w:val="1F497D" w:themeColor="text2"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A3230"/>
    <w:rPr>
      <w:rFonts w:ascii="Arial" w:eastAsiaTheme="majorEastAsia" w:hAnsi="Arial" w:cs="Arial"/>
      <w:b/>
      <w:bCs/>
      <w:color w:val="548DD4" w:themeColor="text2" w:themeTint="99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A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A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A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A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A3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A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A323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323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8A3230"/>
    <w:rPr>
      <w:b/>
      <w:bCs/>
    </w:rPr>
  </w:style>
  <w:style w:type="character" w:styleId="Accentuation">
    <w:name w:val="Emphasis"/>
    <w:basedOn w:val="Policepardfaut"/>
    <w:uiPriority w:val="20"/>
    <w:qFormat/>
    <w:rsid w:val="008A3230"/>
    <w:rPr>
      <w:i/>
      <w:iCs/>
    </w:rPr>
  </w:style>
  <w:style w:type="paragraph" w:styleId="Sansinterligne">
    <w:name w:val="No Spacing"/>
    <w:link w:val="SansinterligneCar"/>
    <w:uiPriority w:val="1"/>
    <w:qFormat/>
    <w:rsid w:val="008A323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A3230"/>
  </w:style>
  <w:style w:type="paragraph" w:styleId="Citation">
    <w:name w:val="Quote"/>
    <w:basedOn w:val="Normal"/>
    <w:next w:val="Normal"/>
    <w:link w:val="CitationCar"/>
    <w:uiPriority w:val="29"/>
    <w:qFormat/>
    <w:rsid w:val="008A3230"/>
    <w:rPr>
      <w:rFonts w:asciiTheme="minorHAnsi" w:hAnsi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A323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2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230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A323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A32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A323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A323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A323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3230"/>
    <w:pPr>
      <w:numPr>
        <w:numId w:val="0"/>
      </w:numPr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724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24AA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24AA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24AA9"/>
    <w:pPr>
      <w:ind w:left="103"/>
    </w:pPr>
  </w:style>
  <w:style w:type="table" w:styleId="Grilledutableau">
    <w:name w:val="Table Grid"/>
    <w:basedOn w:val="TableauNormal"/>
    <w:uiPriority w:val="59"/>
    <w:rsid w:val="004050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07E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05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07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2020-02-20T16:17:00Z</dcterms:created>
  <dcterms:modified xsi:type="dcterms:W3CDTF">2020-02-24T12:26:00Z</dcterms:modified>
</cp:coreProperties>
</file>